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EF3D" w14:textId="77777777" w:rsidR="007C65BA" w:rsidRDefault="00D95671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7286668" wp14:editId="53ED5CA7">
            <wp:simplePos x="0" y="0"/>
            <wp:positionH relativeFrom="margin">
              <wp:posOffset>144780</wp:posOffset>
            </wp:positionH>
            <wp:positionV relativeFrom="paragraph">
              <wp:posOffset>-297180</wp:posOffset>
            </wp:positionV>
            <wp:extent cx="1120140" cy="855980"/>
            <wp:effectExtent l="0" t="0" r="3810" b="127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D2C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84756" wp14:editId="5CA591D2">
                <wp:simplePos x="0" y="0"/>
                <wp:positionH relativeFrom="column">
                  <wp:posOffset>-892175</wp:posOffset>
                </wp:positionH>
                <wp:positionV relativeFrom="paragraph">
                  <wp:posOffset>-171450</wp:posOffset>
                </wp:positionV>
                <wp:extent cx="9144000" cy="60960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46982" w14:textId="77777777" w:rsidR="00552D0E" w:rsidRPr="00D95671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</w:rPr>
                            </w:pPr>
                            <w:r w:rsidRPr="00D95671">
                              <w:rPr>
                                <w:rFonts w:asciiTheme="majorHAnsi" w:hAnsiTheme="majorHAnsi" w:cstheme="majorHAnsi"/>
                                <w:color w:val="FFFFFF" w:themeColor="light1"/>
                                <w:kern w:val="24"/>
                                <w:sz w:val="60"/>
                                <w:szCs w:val="60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084756" id="Rectangle 6" o:spid="_x0000_s1026" style="position:absolute;margin-left:-70.25pt;margin-top:-13.5pt;width:10in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" fillcolor="#002060" stroked="f" strokeweight="1pt">
                <v:textbox>
                  <w:txbxContent>
                    <w:p w14:paraId="29F46982" w14:textId="77777777" w:rsidR="00552D0E" w:rsidRPr="00D95671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</w:rPr>
                      </w:pPr>
                      <w:r w:rsidRPr="00D95671">
                        <w:rPr>
                          <w:rFonts w:asciiTheme="majorHAnsi" w:hAnsiTheme="majorHAnsi" w:cstheme="majorHAnsi"/>
                          <w:color w:val="FFFFFF" w:themeColor="light1"/>
                          <w:kern w:val="24"/>
                          <w:sz w:val="60"/>
                          <w:szCs w:val="60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5C94CC21" w14:textId="77777777" w:rsidR="003E0EB1" w:rsidRDefault="003E0EB1" w:rsidP="00F52862">
      <w:pPr>
        <w:tabs>
          <w:tab w:val="left" w:pos="1515"/>
        </w:tabs>
        <w:spacing w:line="240" w:lineRule="auto"/>
        <w:contextualSpacing/>
      </w:pPr>
    </w:p>
    <w:p w14:paraId="5367E714" w14:textId="77777777" w:rsidR="00693D2C" w:rsidRDefault="00693D2C" w:rsidP="00F52862">
      <w:pPr>
        <w:tabs>
          <w:tab w:val="left" w:pos="1515"/>
        </w:tabs>
        <w:spacing w:line="240" w:lineRule="auto"/>
        <w:contextualSpacing/>
        <w:rPr>
          <w:b/>
          <w:color w:val="2F5496" w:themeColor="accent5" w:themeShade="BF"/>
          <w:sz w:val="28"/>
          <w:szCs w:val="28"/>
        </w:rPr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6D80E7D" wp14:editId="39B0AC26">
                <wp:simplePos x="0" y="0"/>
                <wp:positionH relativeFrom="margin">
                  <wp:posOffset>-365760</wp:posOffset>
                </wp:positionH>
                <wp:positionV relativeFrom="page">
                  <wp:posOffset>1478280</wp:posOffset>
                </wp:positionV>
                <wp:extent cx="7406640" cy="480060"/>
                <wp:effectExtent l="0" t="0" r="381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6640" cy="4800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14E6AE" w14:textId="77777777" w:rsidR="007C65BA" w:rsidRPr="00D95671" w:rsidRDefault="00A53184" w:rsidP="007C65B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95671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Quelle retraite pour les </w:t>
                            </w:r>
                            <w:r w:rsidR="001F49E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poly</w:t>
                            </w:r>
                            <w:r w:rsidR="001F49E7" w:rsidRPr="00D95671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pensionnés</w:t>
                            </w:r>
                            <w:r w:rsidRPr="00D95671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6D80E7D" id="Rectangle à coins arrondis 1" o:spid="_x0000_s1027" style="position:absolute;margin-left:-28.8pt;margin-top:116.4pt;width:583.2pt;height:37.8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" fillcolor="#ed7d31 [3205]" stroked="f" strokeweight="1.5pt">
                <v:textbox>
                  <w:txbxContent>
                    <w:p w14:paraId="7714E6AE" w14:textId="77777777" w:rsidR="007C65BA" w:rsidRPr="00D95671" w:rsidRDefault="00A53184" w:rsidP="007C65BA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D95671">
                        <w:rPr>
                          <w:b/>
                          <w:color w:val="FFFFFF" w:themeColor="background1"/>
                          <w:sz w:val="40"/>
                        </w:rPr>
                        <w:t xml:space="preserve">Quelle retraite pour les </w:t>
                      </w:r>
                      <w:r w:rsidR="001F49E7">
                        <w:rPr>
                          <w:b/>
                          <w:color w:val="FFFFFF" w:themeColor="background1"/>
                          <w:sz w:val="40"/>
                        </w:rPr>
                        <w:t>poly</w:t>
                      </w:r>
                      <w:r w:rsidR="001F49E7" w:rsidRPr="00D95671">
                        <w:rPr>
                          <w:b/>
                          <w:color w:val="FFFFFF" w:themeColor="background1"/>
                          <w:sz w:val="40"/>
                        </w:rPr>
                        <w:t>pensionnés</w:t>
                      </w:r>
                      <w:r w:rsidRPr="00D95671">
                        <w:rPr>
                          <w:b/>
                          <w:color w:val="FFFFFF" w:themeColor="background1"/>
                          <w:sz w:val="40"/>
                        </w:rPr>
                        <w:t xml:space="preserve"> ?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5418C2FB" w14:textId="77777777" w:rsidR="00693D2C" w:rsidRDefault="00693D2C" w:rsidP="00F52862">
      <w:pPr>
        <w:tabs>
          <w:tab w:val="left" w:pos="1515"/>
        </w:tabs>
        <w:spacing w:line="240" w:lineRule="auto"/>
        <w:contextualSpacing/>
        <w:rPr>
          <w:b/>
          <w:color w:val="2F5496" w:themeColor="accent5" w:themeShade="BF"/>
          <w:sz w:val="28"/>
          <w:szCs w:val="28"/>
        </w:rPr>
      </w:pPr>
    </w:p>
    <w:p w14:paraId="54FCF36B" w14:textId="77777777" w:rsidR="00F52862" w:rsidRPr="00CD6997" w:rsidRDefault="00F52862" w:rsidP="00CD6997">
      <w:pPr>
        <w:tabs>
          <w:tab w:val="left" w:pos="1515"/>
        </w:tabs>
        <w:spacing w:line="240" w:lineRule="auto"/>
        <w:contextualSpacing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1 – Définition</w:t>
      </w:r>
    </w:p>
    <w:p w14:paraId="071340B8" w14:textId="77777777" w:rsidR="00F52862" w:rsidRDefault="00F52862" w:rsidP="000443E9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  <w:r w:rsidRPr="00F52862">
        <w:rPr>
          <w:sz w:val="28"/>
          <w:szCs w:val="28"/>
        </w:rPr>
        <w:t>O</w:t>
      </w:r>
      <w:r w:rsidRPr="00F52862">
        <w:rPr>
          <w:szCs w:val="28"/>
        </w:rPr>
        <w:t>n parle de « polypensionné » pour qualifier un retraité percevant des pensions issues de régimes professionnels différents.</w:t>
      </w:r>
      <w:r w:rsidR="009C5B86">
        <w:rPr>
          <w:szCs w:val="28"/>
        </w:rPr>
        <w:t xml:space="preserve"> L</w:t>
      </w:r>
      <w:r w:rsidRPr="00F52862">
        <w:rPr>
          <w:szCs w:val="28"/>
        </w:rPr>
        <w:t>es régimes sont répartis en deux groupes :</w:t>
      </w:r>
    </w:p>
    <w:p w14:paraId="08A67517" w14:textId="77777777" w:rsidR="00F52862" w:rsidRPr="00F52862" w:rsidRDefault="00F52862" w:rsidP="009C5B86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</w:p>
    <w:p w14:paraId="74E6A734" w14:textId="77777777" w:rsidR="00F52862" w:rsidRPr="00F52862" w:rsidRDefault="00F52862" w:rsidP="000443E9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  <w:r w:rsidRPr="00F52862">
        <w:rPr>
          <w:szCs w:val="28"/>
        </w:rPr>
        <w:t>•</w:t>
      </w:r>
      <w:r>
        <w:rPr>
          <w:szCs w:val="28"/>
        </w:rPr>
        <w:t xml:space="preserve"> </w:t>
      </w:r>
      <w:r w:rsidRPr="00951504">
        <w:rPr>
          <w:b/>
          <w:szCs w:val="28"/>
        </w:rPr>
        <w:t>Les régimes alignés sur le régime général</w:t>
      </w:r>
      <w:r w:rsidRPr="00F52862">
        <w:rPr>
          <w:szCs w:val="28"/>
        </w:rPr>
        <w:t xml:space="preserve"> : le régime des artisans, commerçants et industriels (SSI) et celui des salariés agricoles (MSA) partagent les mêmes règles que le régime général des salariés (</w:t>
      </w:r>
      <w:proofErr w:type="spellStart"/>
      <w:r w:rsidRPr="00F52862">
        <w:rPr>
          <w:szCs w:val="28"/>
        </w:rPr>
        <w:t>Cnav</w:t>
      </w:r>
      <w:proofErr w:type="spellEnd"/>
      <w:r w:rsidRPr="00F52862">
        <w:rPr>
          <w:szCs w:val="28"/>
        </w:rPr>
        <w:t>).</w:t>
      </w:r>
    </w:p>
    <w:p w14:paraId="4FA96A67" w14:textId="77777777" w:rsidR="00F52862" w:rsidRPr="00F52862" w:rsidRDefault="00F52862" w:rsidP="009C5B86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  <w:r w:rsidRPr="00F52862">
        <w:rPr>
          <w:szCs w:val="28"/>
        </w:rPr>
        <w:t>•</w:t>
      </w:r>
      <w:r>
        <w:rPr>
          <w:szCs w:val="28"/>
        </w:rPr>
        <w:t xml:space="preserve"> </w:t>
      </w:r>
      <w:r w:rsidRPr="00951504">
        <w:rPr>
          <w:b/>
          <w:szCs w:val="28"/>
        </w:rPr>
        <w:t>Les autres régimes, non alignés sur le régime général</w:t>
      </w:r>
      <w:r w:rsidRPr="00F52862">
        <w:rPr>
          <w:szCs w:val="28"/>
        </w:rPr>
        <w:t xml:space="preserve"> : fonctionnaires, professions libérales, exploitants agricoles et régimes spéciaux.</w:t>
      </w:r>
    </w:p>
    <w:p w14:paraId="3163DCA4" w14:textId="77777777" w:rsidR="00F52862" w:rsidRDefault="00F52862" w:rsidP="00F52862">
      <w:pPr>
        <w:tabs>
          <w:tab w:val="left" w:pos="1515"/>
        </w:tabs>
        <w:spacing w:line="240" w:lineRule="auto"/>
        <w:contextualSpacing/>
        <w:rPr>
          <w:b/>
          <w:szCs w:val="28"/>
        </w:rPr>
      </w:pPr>
    </w:p>
    <w:p w14:paraId="5F1456A5" w14:textId="77777777" w:rsidR="00951504" w:rsidRPr="00F52862" w:rsidRDefault="00951504" w:rsidP="00F52862">
      <w:pPr>
        <w:tabs>
          <w:tab w:val="left" w:pos="1515"/>
        </w:tabs>
        <w:spacing w:line="240" w:lineRule="auto"/>
        <w:contextualSpacing/>
        <w:rPr>
          <w:b/>
          <w:szCs w:val="28"/>
        </w:rPr>
      </w:pPr>
    </w:p>
    <w:p w14:paraId="2A4CD454" w14:textId="77777777" w:rsidR="00C45B2E" w:rsidRPr="00CD6997" w:rsidRDefault="00F52862" w:rsidP="00F52862">
      <w:pPr>
        <w:tabs>
          <w:tab w:val="left" w:pos="1515"/>
        </w:tabs>
        <w:spacing w:line="240" w:lineRule="auto"/>
        <w:contextualSpacing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 xml:space="preserve">2 - Condition d’âge </w:t>
      </w:r>
    </w:p>
    <w:p w14:paraId="607A72EE" w14:textId="77777777" w:rsidR="00F52862" w:rsidRPr="00C45B2E" w:rsidRDefault="00C45B2E" w:rsidP="000443E9">
      <w:pPr>
        <w:tabs>
          <w:tab w:val="left" w:pos="1515"/>
        </w:tabs>
        <w:spacing w:line="240" w:lineRule="auto"/>
        <w:ind w:right="-113"/>
        <w:contextualSpacing/>
        <w:jc w:val="both"/>
      </w:pPr>
      <w:r w:rsidRPr="00C45B2E">
        <w:t>Les conditions d'âge ont été alignées dans la plupart des régimes</w:t>
      </w:r>
      <w:r w:rsidR="000443E9">
        <w:t xml:space="preserve"> (</w:t>
      </w:r>
      <w:r w:rsidR="00951504">
        <w:t xml:space="preserve">départ à </w:t>
      </w:r>
      <w:r w:rsidR="000443E9">
        <w:t>62 ans</w:t>
      </w:r>
      <w:r w:rsidR="00951504">
        <w:t xml:space="preserve"> pour un taux plein</w:t>
      </w:r>
      <w:r w:rsidR="000443E9">
        <w:t>).</w:t>
      </w:r>
    </w:p>
    <w:p w14:paraId="5497FB30" w14:textId="77777777" w:rsidR="00C45B2E" w:rsidRDefault="00C45B2E" w:rsidP="00F52862">
      <w:pPr>
        <w:tabs>
          <w:tab w:val="left" w:pos="1515"/>
        </w:tabs>
        <w:spacing w:line="240" w:lineRule="auto"/>
        <w:contextualSpacing/>
        <w:rPr>
          <w:color w:val="2F5496" w:themeColor="accent5" w:themeShade="BF"/>
          <w:szCs w:val="28"/>
        </w:rPr>
      </w:pPr>
    </w:p>
    <w:p w14:paraId="658C3B66" w14:textId="77777777" w:rsidR="00951504" w:rsidRPr="00C45B2E" w:rsidRDefault="00951504" w:rsidP="00F52862">
      <w:pPr>
        <w:tabs>
          <w:tab w:val="left" w:pos="1515"/>
        </w:tabs>
        <w:spacing w:line="240" w:lineRule="auto"/>
        <w:contextualSpacing/>
        <w:rPr>
          <w:color w:val="2F5496" w:themeColor="accent5" w:themeShade="BF"/>
          <w:szCs w:val="28"/>
        </w:rPr>
      </w:pPr>
    </w:p>
    <w:p w14:paraId="4FCFA586" w14:textId="77777777" w:rsidR="00E15CF6" w:rsidRPr="00CD6997" w:rsidRDefault="00F52862" w:rsidP="00F52862">
      <w:pPr>
        <w:tabs>
          <w:tab w:val="left" w:pos="1515"/>
        </w:tabs>
        <w:spacing w:line="240" w:lineRule="auto"/>
        <w:contextualSpacing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3 - Durée d’assurance</w:t>
      </w:r>
    </w:p>
    <w:p w14:paraId="6C0DEDFA" w14:textId="77777777" w:rsidR="00F52862" w:rsidRDefault="00E15CF6" w:rsidP="009C5B86">
      <w:pPr>
        <w:tabs>
          <w:tab w:val="left" w:pos="1515"/>
        </w:tabs>
        <w:spacing w:line="240" w:lineRule="auto"/>
        <w:contextualSpacing/>
        <w:jc w:val="both"/>
      </w:pPr>
      <w:r w:rsidRPr="00E15CF6">
        <w:t xml:space="preserve">Les conditions de durée d'assurance </w:t>
      </w:r>
      <w:r w:rsidR="001F49E7">
        <w:t>sont les mêmes</w:t>
      </w:r>
      <w:r w:rsidRPr="00E15CF6">
        <w:t xml:space="preserve"> dans la plupart des régimes (4</w:t>
      </w:r>
      <w:r w:rsidR="001F49E7">
        <w:t xml:space="preserve"> trimestres</w:t>
      </w:r>
      <w:r w:rsidRPr="00E15CF6">
        <w:t xml:space="preserve"> par an)</w:t>
      </w:r>
      <w:r>
        <w:t>.</w:t>
      </w:r>
      <w:r w:rsidR="00951504">
        <w:t xml:space="preserve"> A chaque année de naissance correspond un nombre de trimestres à effectuer.</w:t>
      </w:r>
    </w:p>
    <w:p w14:paraId="6D6F8A07" w14:textId="77777777" w:rsidR="00E15CF6" w:rsidRDefault="00D95671" w:rsidP="009C5B86">
      <w:pPr>
        <w:tabs>
          <w:tab w:val="left" w:pos="1515"/>
        </w:tabs>
        <w:spacing w:line="240" w:lineRule="auto"/>
        <w:contextualSpacing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9C9065F" wp14:editId="400638D0">
            <wp:simplePos x="0" y="0"/>
            <wp:positionH relativeFrom="column">
              <wp:posOffset>1912620</wp:posOffset>
            </wp:positionH>
            <wp:positionV relativeFrom="paragraph">
              <wp:posOffset>45432</wp:posOffset>
            </wp:positionV>
            <wp:extent cx="426720" cy="447278"/>
            <wp:effectExtent l="0" t="0" r="0" b="0"/>
            <wp:wrapNone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FDC406B8-5C98-45A5-9646-33DF421A96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FDC406B8-5C98-45A5-9646-33DF421A96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51" cy="448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F1245" w14:textId="77777777" w:rsidR="00951504" w:rsidRPr="00E15CF6" w:rsidRDefault="00951504" w:rsidP="009C5B86">
      <w:pPr>
        <w:tabs>
          <w:tab w:val="left" w:pos="1515"/>
        </w:tabs>
        <w:spacing w:line="240" w:lineRule="auto"/>
        <w:contextualSpacing/>
        <w:jc w:val="both"/>
      </w:pPr>
    </w:p>
    <w:p w14:paraId="3C3CD847" w14:textId="77777777" w:rsidR="00575D18" w:rsidRPr="00CD6997" w:rsidRDefault="00F52862" w:rsidP="009C5B86">
      <w:pPr>
        <w:tabs>
          <w:tab w:val="left" w:pos="1515"/>
        </w:tabs>
        <w:spacing w:line="240" w:lineRule="auto"/>
        <w:contextualSpacing/>
        <w:jc w:val="both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 xml:space="preserve">4 </w:t>
      </w:r>
      <w:r w:rsidR="000E2DAA">
        <w:rPr>
          <w:b/>
          <w:color w:val="2F5496" w:themeColor="accent5" w:themeShade="BF"/>
          <w:sz w:val="28"/>
          <w:szCs w:val="28"/>
        </w:rPr>
        <w:t>–</w:t>
      </w:r>
      <w:r>
        <w:rPr>
          <w:b/>
          <w:color w:val="2F5496" w:themeColor="accent5" w:themeShade="BF"/>
          <w:sz w:val="28"/>
          <w:szCs w:val="28"/>
        </w:rPr>
        <w:t xml:space="preserve"> Calcul</w:t>
      </w:r>
      <w:r w:rsidR="000E2DAA">
        <w:rPr>
          <w:b/>
          <w:color w:val="2F5496" w:themeColor="accent5" w:themeShade="BF"/>
          <w:sz w:val="28"/>
          <w:szCs w:val="28"/>
        </w:rPr>
        <w:t xml:space="preserve"> de la </w:t>
      </w:r>
      <w:r>
        <w:rPr>
          <w:b/>
          <w:color w:val="2F5496" w:themeColor="accent5" w:themeShade="BF"/>
          <w:sz w:val="28"/>
          <w:szCs w:val="28"/>
        </w:rPr>
        <w:t>retraite</w:t>
      </w:r>
    </w:p>
    <w:p w14:paraId="0541F556" w14:textId="77777777" w:rsidR="00575D18" w:rsidRDefault="00575D18" w:rsidP="009C5B86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  <w:r w:rsidRPr="00AA31F0">
        <w:rPr>
          <w:szCs w:val="28"/>
        </w:rPr>
        <w:t>Pour avoir droit à une pension de la fonction publique, il faut y avoir travaillé au minimum 2 ans</w:t>
      </w:r>
      <w:r w:rsidR="000E2DAA">
        <w:rPr>
          <w:szCs w:val="28"/>
        </w:rPr>
        <w:t> : a</w:t>
      </w:r>
      <w:r w:rsidRPr="00AA31F0">
        <w:rPr>
          <w:szCs w:val="28"/>
        </w:rPr>
        <w:t xml:space="preserve">u titre de cette période, vous toucherez une pension de base </w:t>
      </w:r>
      <w:r w:rsidR="00951504">
        <w:rPr>
          <w:szCs w:val="28"/>
        </w:rPr>
        <w:t xml:space="preserve">(CNRACL) </w:t>
      </w:r>
      <w:r w:rsidRPr="00AA31F0">
        <w:rPr>
          <w:szCs w:val="28"/>
        </w:rPr>
        <w:t xml:space="preserve">et une pension complémentaire </w:t>
      </w:r>
      <w:r w:rsidR="00951504">
        <w:rPr>
          <w:szCs w:val="28"/>
        </w:rPr>
        <w:t>(</w:t>
      </w:r>
      <w:r w:rsidR="00753269">
        <w:rPr>
          <w:szCs w:val="28"/>
        </w:rPr>
        <w:t>RAFP</w:t>
      </w:r>
      <w:r w:rsidR="00951504">
        <w:rPr>
          <w:szCs w:val="28"/>
        </w:rPr>
        <w:t>)</w:t>
      </w:r>
      <w:r w:rsidR="000E2DAA">
        <w:rPr>
          <w:szCs w:val="28"/>
        </w:rPr>
        <w:t>.</w:t>
      </w:r>
    </w:p>
    <w:p w14:paraId="4E6D9A0A" w14:textId="77777777" w:rsidR="000E2DAA" w:rsidRDefault="000E2DAA" w:rsidP="000E2DAA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</w:p>
    <w:p w14:paraId="5DBB5B81" w14:textId="6A000256" w:rsidR="000E2DAA" w:rsidRPr="00DD2CB2" w:rsidRDefault="00D95671" w:rsidP="000E2DAA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9BE5648" wp14:editId="2600F661">
            <wp:simplePos x="0" y="0"/>
            <wp:positionH relativeFrom="column">
              <wp:posOffset>3901440</wp:posOffset>
            </wp:positionH>
            <wp:positionV relativeFrom="paragraph">
              <wp:posOffset>451485</wp:posOffset>
            </wp:positionV>
            <wp:extent cx="472440" cy="472440"/>
            <wp:effectExtent l="0" t="0" r="3810" b="3810"/>
            <wp:wrapNone/>
            <wp:docPr id="3" name="Image 3" descr="Le calendrier des candidatures (année universitaire : 2022/2023) | Campus 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alendrier des candidatures (année universitaire : 2022/2023) | Campus  Fra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2DAA">
        <w:rPr>
          <w:szCs w:val="28"/>
        </w:rPr>
        <w:t>Un « poly</w:t>
      </w:r>
      <w:r w:rsidR="001F49E7">
        <w:rPr>
          <w:szCs w:val="28"/>
        </w:rPr>
        <w:t>p</w:t>
      </w:r>
      <w:r w:rsidR="000E2DAA">
        <w:rPr>
          <w:szCs w:val="28"/>
        </w:rPr>
        <w:t xml:space="preserve">ensionné » pour sa part, se verra servir </w:t>
      </w:r>
      <w:r w:rsidR="00951504">
        <w:rPr>
          <w:szCs w:val="28"/>
        </w:rPr>
        <w:t>la</w:t>
      </w:r>
      <w:r w:rsidR="000E2DAA">
        <w:rPr>
          <w:szCs w:val="28"/>
        </w:rPr>
        <w:t xml:space="preserve"> pension de base du </w:t>
      </w:r>
      <w:r w:rsidR="00F50BF6">
        <w:rPr>
          <w:szCs w:val="28"/>
        </w:rPr>
        <w:t xml:space="preserve">service </w:t>
      </w:r>
      <w:r w:rsidR="000E2DAA">
        <w:rPr>
          <w:szCs w:val="28"/>
        </w:rPr>
        <w:t>public</w:t>
      </w:r>
      <w:r w:rsidR="00951504">
        <w:rPr>
          <w:szCs w:val="28"/>
        </w:rPr>
        <w:t xml:space="preserve"> (CNRACL), </w:t>
      </w:r>
      <w:r w:rsidR="000E2DAA">
        <w:rPr>
          <w:szCs w:val="28"/>
        </w:rPr>
        <w:t>ainsi qu</w:t>
      </w:r>
      <w:r w:rsidR="00F50BF6">
        <w:rPr>
          <w:szCs w:val="28"/>
        </w:rPr>
        <w:t>e la</w:t>
      </w:r>
      <w:r w:rsidR="000E2DAA">
        <w:rPr>
          <w:szCs w:val="28"/>
        </w:rPr>
        <w:t xml:space="preserve"> pension complémentaire</w:t>
      </w:r>
      <w:r w:rsidR="00F50BF6">
        <w:rPr>
          <w:szCs w:val="28"/>
        </w:rPr>
        <w:t xml:space="preserve"> </w:t>
      </w:r>
      <w:r w:rsidR="00951504">
        <w:rPr>
          <w:szCs w:val="28"/>
        </w:rPr>
        <w:t>(</w:t>
      </w:r>
      <w:r w:rsidR="00753269">
        <w:rPr>
          <w:szCs w:val="28"/>
        </w:rPr>
        <w:t>RAFP</w:t>
      </w:r>
      <w:r w:rsidR="000E2DAA" w:rsidRPr="00DD2CB2">
        <w:rPr>
          <w:szCs w:val="28"/>
        </w:rPr>
        <w:t>) + une pension de base des régimes alignés au régime général du privé</w:t>
      </w:r>
      <w:r w:rsidR="00951504" w:rsidRPr="00DD2CB2">
        <w:rPr>
          <w:szCs w:val="28"/>
        </w:rPr>
        <w:t xml:space="preserve">, </w:t>
      </w:r>
      <w:r w:rsidR="000E2DAA" w:rsidRPr="00DD2CB2">
        <w:rPr>
          <w:szCs w:val="28"/>
        </w:rPr>
        <w:t xml:space="preserve">ainsi qu’une pension complémentaire </w:t>
      </w:r>
      <w:r w:rsidR="00951504" w:rsidRPr="00DD2CB2">
        <w:rPr>
          <w:szCs w:val="28"/>
        </w:rPr>
        <w:t>(</w:t>
      </w:r>
      <w:r w:rsidR="000E2DAA" w:rsidRPr="00DD2CB2">
        <w:rPr>
          <w:szCs w:val="28"/>
        </w:rPr>
        <w:t>Agirc-Arrco</w:t>
      </w:r>
      <w:r w:rsidR="00B51DCE" w:rsidRPr="00DD2CB2">
        <w:rPr>
          <w:szCs w:val="28"/>
        </w:rPr>
        <w:t xml:space="preserve"> ou Ircantec</w:t>
      </w:r>
      <w:r w:rsidR="000E2DAA" w:rsidRPr="00DD2CB2">
        <w:rPr>
          <w:szCs w:val="28"/>
        </w:rPr>
        <w:t>).</w:t>
      </w:r>
      <w:r w:rsidRPr="00DD2CB2">
        <w:rPr>
          <w:noProof/>
        </w:rPr>
        <w:t xml:space="preserve"> </w:t>
      </w:r>
    </w:p>
    <w:p w14:paraId="77B256F3" w14:textId="77777777" w:rsidR="00575D18" w:rsidRPr="00DD2CB2" w:rsidRDefault="00575D18" w:rsidP="009C5B86">
      <w:pPr>
        <w:tabs>
          <w:tab w:val="left" w:pos="1515"/>
        </w:tabs>
        <w:spacing w:line="240" w:lineRule="auto"/>
        <w:contextualSpacing/>
        <w:jc w:val="both"/>
        <w:rPr>
          <w:b/>
          <w:color w:val="2F5496" w:themeColor="accent5" w:themeShade="BF"/>
          <w:sz w:val="28"/>
          <w:szCs w:val="28"/>
        </w:rPr>
      </w:pPr>
    </w:p>
    <w:p w14:paraId="0FBEA87C" w14:textId="3518D6FC" w:rsidR="003E0EB1" w:rsidRPr="00DD2CB2" w:rsidRDefault="00F52862" w:rsidP="00CD6997">
      <w:pPr>
        <w:tabs>
          <w:tab w:val="left" w:pos="1515"/>
        </w:tabs>
        <w:spacing w:line="240" w:lineRule="auto"/>
        <w:contextualSpacing/>
        <w:rPr>
          <w:b/>
          <w:color w:val="2F5496" w:themeColor="accent5" w:themeShade="BF"/>
          <w:sz w:val="28"/>
          <w:szCs w:val="28"/>
        </w:rPr>
      </w:pPr>
      <w:r w:rsidRPr="00DD2CB2">
        <w:rPr>
          <w:b/>
          <w:color w:val="2F5496" w:themeColor="accent5" w:themeShade="BF"/>
          <w:sz w:val="28"/>
          <w:szCs w:val="28"/>
        </w:rPr>
        <w:t>5 - Déposer sa demande</w:t>
      </w:r>
      <w:r w:rsidR="004A5557" w:rsidRPr="00DD2CB2">
        <w:rPr>
          <w:b/>
          <w:color w:val="2F5496" w:themeColor="accent5" w:themeShade="BF"/>
          <w:sz w:val="28"/>
          <w:szCs w:val="28"/>
        </w:rPr>
        <w:t xml:space="preserve"> (</w:t>
      </w:r>
      <w:r w:rsidR="00B51DCE" w:rsidRPr="00DD2CB2">
        <w:rPr>
          <w:b/>
          <w:color w:val="2F5496" w:themeColor="accent5" w:themeShade="BF"/>
          <w:sz w:val="28"/>
          <w:szCs w:val="28"/>
        </w:rPr>
        <w:t xml:space="preserve">1 an </w:t>
      </w:r>
      <w:r w:rsidR="004A5557" w:rsidRPr="00DD2CB2">
        <w:rPr>
          <w:b/>
          <w:color w:val="2F5496" w:themeColor="accent5" w:themeShade="BF"/>
          <w:sz w:val="28"/>
          <w:szCs w:val="28"/>
        </w:rPr>
        <w:t>avant le départ)</w:t>
      </w:r>
      <w:r w:rsidR="00D95671" w:rsidRPr="00DD2CB2">
        <w:rPr>
          <w:noProof/>
        </w:rPr>
        <w:t xml:space="preserve"> </w:t>
      </w:r>
    </w:p>
    <w:p w14:paraId="2052486F" w14:textId="77777777" w:rsidR="00575D18" w:rsidRPr="00DD2CB2" w:rsidRDefault="00575D18" w:rsidP="009C5B86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  <w:r w:rsidRPr="00DD2CB2">
        <w:rPr>
          <w:szCs w:val="28"/>
        </w:rPr>
        <w:t xml:space="preserve">Si vous avez cotisé </w:t>
      </w:r>
      <w:r w:rsidR="00951504" w:rsidRPr="00DD2CB2">
        <w:rPr>
          <w:szCs w:val="28"/>
        </w:rPr>
        <w:t xml:space="preserve">uniquement </w:t>
      </w:r>
      <w:r w:rsidR="00F50BF6" w:rsidRPr="00DD2CB2">
        <w:rPr>
          <w:szCs w:val="28"/>
        </w:rPr>
        <w:t xml:space="preserve">en </w:t>
      </w:r>
      <w:r w:rsidR="00F50BF6" w:rsidRPr="00DD2CB2">
        <w:rPr>
          <w:szCs w:val="28"/>
          <w:u w:val="single"/>
        </w:rPr>
        <w:t>tant que fonctionnaire</w:t>
      </w:r>
      <w:r w:rsidRPr="00DD2CB2">
        <w:rPr>
          <w:szCs w:val="28"/>
        </w:rPr>
        <w:t>, vous devez déposer une demande</w:t>
      </w:r>
      <w:r w:rsidR="00F50BF6" w:rsidRPr="00DD2CB2">
        <w:rPr>
          <w:szCs w:val="28"/>
        </w:rPr>
        <w:t xml:space="preserve"> </w:t>
      </w:r>
      <w:r w:rsidR="00AA31F0" w:rsidRPr="00DD2CB2">
        <w:rPr>
          <w:szCs w:val="28"/>
        </w:rPr>
        <w:t>auprès d</w:t>
      </w:r>
      <w:r w:rsidR="00F50BF6" w:rsidRPr="00DD2CB2">
        <w:rPr>
          <w:szCs w:val="28"/>
        </w:rPr>
        <w:t>e votre</w:t>
      </w:r>
      <w:r w:rsidR="00AA31F0" w:rsidRPr="00DD2CB2">
        <w:rPr>
          <w:szCs w:val="28"/>
        </w:rPr>
        <w:t xml:space="preserve"> service RH. </w:t>
      </w:r>
    </w:p>
    <w:p w14:paraId="0FB18452" w14:textId="77777777" w:rsidR="00F50BF6" w:rsidRPr="00DD2CB2" w:rsidRDefault="00F50BF6" w:rsidP="009C5B86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</w:p>
    <w:p w14:paraId="282E07E5" w14:textId="7ABA4F93" w:rsidR="00575D18" w:rsidRDefault="00F50BF6" w:rsidP="009C5B86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  <w:r w:rsidRPr="00DD2CB2">
        <w:rPr>
          <w:szCs w:val="28"/>
        </w:rPr>
        <w:t xml:space="preserve">Si vous avez cotisé à des </w:t>
      </w:r>
      <w:r w:rsidRPr="00DD2CB2">
        <w:rPr>
          <w:szCs w:val="28"/>
          <w:u w:val="single"/>
        </w:rPr>
        <w:t>régimes alignés</w:t>
      </w:r>
      <w:r w:rsidRPr="00DD2CB2">
        <w:rPr>
          <w:szCs w:val="28"/>
        </w:rPr>
        <w:t xml:space="preserve">, il vous </w:t>
      </w:r>
      <w:r w:rsidR="00E52227" w:rsidRPr="00DD2CB2">
        <w:rPr>
          <w:szCs w:val="28"/>
        </w:rPr>
        <w:t xml:space="preserve">faudra </w:t>
      </w:r>
      <w:r w:rsidRPr="00DD2CB2">
        <w:rPr>
          <w:szCs w:val="28"/>
        </w:rPr>
        <w:t>déposer une demande au dernier régime auquel vous avez été affilié. Dans la majorité des situations, la demande peut être effectuée en ligne</w:t>
      </w:r>
      <w:r w:rsidR="00951504" w:rsidRPr="00DD2CB2">
        <w:rPr>
          <w:szCs w:val="28"/>
        </w:rPr>
        <w:t xml:space="preserve">. Pour sa part, l’assurance retraite </w:t>
      </w:r>
      <w:r w:rsidR="00E52227" w:rsidRPr="00DD2CB2">
        <w:rPr>
          <w:szCs w:val="28"/>
        </w:rPr>
        <w:t>(</w:t>
      </w:r>
      <w:r w:rsidR="00951504" w:rsidRPr="00DD2CB2">
        <w:rPr>
          <w:szCs w:val="28"/>
        </w:rPr>
        <w:t>CARSAT</w:t>
      </w:r>
      <w:r w:rsidR="00E52227" w:rsidRPr="00DD2CB2">
        <w:rPr>
          <w:szCs w:val="28"/>
        </w:rPr>
        <w:t>)</w:t>
      </w:r>
      <w:r w:rsidRPr="00DD2CB2">
        <w:rPr>
          <w:szCs w:val="28"/>
        </w:rPr>
        <w:t xml:space="preserve"> transmettra la demande auprès de</w:t>
      </w:r>
      <w:r w:rsidR="00951504" w:rsidRPr="00DD2CB2">
        <w:rPr>
          <w:szCs w:val="28"/>
        </w:rPr>
        <w:t xml:space="preserve"> la caisse de retraite complémentaire</w:t>
      </w:r>
      <w:r w:rsidRPr="00DD2CB2">
        <w:rPr>
          <w:szCs w:val="28"/>
        </w:rPr>
        <w:t xml:space="preserve"> </w:t>
      </w:r>
      <w:r w:rsidR="00CD6997" w:rsidRPr="00DD2CB2">
        <w:rPr>
          <w:szCs w:val="28"/>
        </w:rPr>
        <w:t>(</w:t>
      </w:r>
      <w:r w:rsidRPr="00DD2CB2">
        <w:rPr>
          <w:szCs w:val="28"/>
        </w:rPr>
        <w:t>Agirc-Arrco</w:t>
      </w:r>
      <w:r w:rsidR="00B51DCE" w:rsidRPr="00DD2CB2">
        <w:rPr>
          <w:szCs w:val="28"/>
        </w:rPr>
        <w:t xml:space="preserve"> ou Ircantec</w:t>
      </w:r>
      <w:r w:rsidR="00CD6997">
        <w:rPr>
          <w:szCs w:val="28"/>
        </w:rPr>
        <w:t>)</w:t>
      </w:r>
      <w:r>
        <w:rPr>
          <w:szCs w:val="28"/>
        </w:rPr>
        <w:t>.</w:t>
      </w:r>
    </w:p>
    <w:p w14:paraId="08F1A852" w14:textId="77777777" w:rsidR="00F50BF6" w:rsidRDefault="00F50BF6" w:rsidP="009C5B86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</w:p>
    <w:p w14:paraId="39D31A3F" w14:textId="77777777" w:rsidR="00F50BF6" w:rsidRPr="00AA31F0" w:rsidRDefault="00F50BF6" w:rsidP="009C5B86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  <w:r>
        <w:rPr>
          <w:szCs w:val="28"/>
        </w:rPr>
        <w:t>N’hésitez-pas à prendre conseil auprès de votre assistante sociale</w:t>
      </w:r>
      <w:r w:rsidR="00B502C9">
        <w:rPr>
          <w:szCs w:val="28"/>
        </w:rPr>
        <w:t>. En</w:t>
      </w:r>
      <w:r w:rsidR="00CD6997">
        <w:rPr>
          <w:szCs w:val="28"/>
        </w:rPr>
        <w:t xml:space="preserve"> effet, toutes les situations sont différentes et certaines peuvent s’avérer complexes </w:t>
      </w:r>
      <w:r w:rsidR="00C21F54">
        <w:rPr>
          <w:szCs w:val="28"/>
        </w:rPr>
        <w:t>(carrière longue, handicap…).</w:t>
      </w:r>
    </w:p>
    <w:p w14:paraId="72A2AF29" w14:textId="77777777" w:rsidR="00575D18" w:rsidRPr="00AA31F0" w:rsidRDefault="00575D18" w:rsidP="009C5B86">
      <w:pPr>
        <w:tabs>
          <w:tab w:val="left" w:pos="1515"/>
        </w:tabs>
        <w:spacing w:line="240" w:lineRule="auto"/>
        <w:contextualSpacing/>
        <w:jc w:val="both"/>
        <w:rPr>
          <w:szCs w:val="28"/>
        </w:rPr>
      </w:pPr>
    </w:p>
    <w:p w14:paraId="6626B4A6" w14:textId="77777777" w:rsidR="00F52862" w:rsidRPr="00AA31F0" w:rsidRDefault="00693D2C" w:rsidP="009C5B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8A223" wp14:editId="1670C35A">
                <wp:simplePos x="0" y="0"/>
                <wp:positionH relativeFrom="column">
                  <wp:posOffset>-99060</wp:posOffset>
                </wp:positionH>
                <wp:positionV relativeFrom="paragraph">
                  <wp:posOffset>86360</wp:posOffset>
                </wp:positionV>
                <wp:extent cx="6911340" cy="1038225"/>
                <wp:effectExtent l="400050" t="0" r="60960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B1009" w14:textId="64558C30" w:rsidR="00E66692" w:rsidRPr="00E66692" w:rsidRDefault="00664F4F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XXX</w:t>
                            </w:r>
                            <w:r w:rsidR="00E66692" w:rsidRPr="00E66692"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664F4F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="00E66692" w:rsidRPr="00E66692">
                              <w:rPr>
                                <w:b/>
                                <w:sz w:val="24"/>
                              </w:rPr>
                              <w:t xml:space="preserve">ssistante de service social intervenant pour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XXX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, est à votre disposition pour vous conseiller et vous informer sur vos droits. </w:t>
                            </w:r>
                          </w:p>
                          <w:p w14:paraId="4292F911" w14:textId="12B97C55" w:rsidR="00E66692" w:rsidRPr="00E66692" w:rsidRDefault="00E66692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E66692">
                              <w:rPr>
                                <w:sz w:val="24"/>
                              </w:rPr>
                              <w:t xml:space="preserve">renez rendez-vous au </w:t>
                            </w:r>
                            <w:r w:rsidR="00050E59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 w:rsidR="00D2531D">
                              <w:rPr>
                                <w:b/>
                                <w:sz w:val="24"/>
                              </w:rPr>
                              <w:t>7.</w:t>
                            </w:r>
                            <w:r w:rsidR="00664F4F">
                              <w:rPr>
                                <w:b/>
                                <w:sz w:val="24"/>
                              </w:rPr>
                              <w:t>XXX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11" w:history="1">
                              <w:r w:rsidR="00664F4F">
                                <w:rPr>
                                  <w:rStyle w:val="Lienhypertexte"/>
                                  <w:sz w:val="24"/>
                                </w:rPr>
                                <w:t>XXX</w:t>
                              </w:r>
                              <w:bookmarkStart w:id="0" w:name="_GoBack"/>
                              <w:bookmarkEnd w:id="0"/>
                              <w:r w:rsidR="00D2531D" w:rsidRPr="006D3D9F">
                                <w:rPr>
                                  <w:rStyle w:val="Lienhypertexte"/>
                                  <w:sz w:val="24"/>
                                </w:rPr>
                                <w:t>@acist.asso.fr</w:t>
                              </w:r>
                            </w:hyperlink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1B69EC2D" w14:textId="77777777"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A223" id="Arrondir un rectangle avec un coin diagonal 4" o:spid="_x0000_s1028" style="position:absolute;left:0;text-align:left;margin-left:-7.8pt;margin-top:6.8pt;width:544.2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134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" adj="-11796480,,5400" path="m173041,l6911340,r,l6911340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911340,0;6911340,0;6911340,865184;6738299,1038225;0,1038225;0,1038225;0,173041;173041,0" o:connectangles="0,0,0,0,0,0,0,0,0" textboxrect="0,0,6911340,1038225"/>
                <v:textbox>
                  <w:txbxContent>
                    <w:p w14:paraId="49AB1009" w14:textId="64558C30" w:rsidR="00E66692" w:rsidRPr="00E66692" w:rsidRDefault="00664F4F" w:rsidP="00E666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XXX</w:t>
                      </w:r>
                      <w:r w:rsidR="00E66692" w:rsidRPr="00E66692">
                        <w:rPr>
                          <w:sz w:val="24"/>
                        </w:rPr>
                        <w:t>,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664F4F">
                        <w:rPr>
                          <w:b/>
                          <w:sz w:val="24"/>
                        </w:rPr>
                        <w:t>A</w:t>
                      </w:r>
                      <w:r w:rsidR="00E66692" w:rsidRPr="00E66692">
                        <w:rPr>
                          <w:b/>
                          <w:sz w:val="24"/>
                        </w:rPr>
                        <w:t xml:space="preserve">ssistante de service social intervenant pour </w:t>
                      </w:r>
                      <w:r>
                        <w:rPr>
                          <w:b/>
                          <w:sz w:val="24"/>
                        </w:rPr>
                        <w:t>XXX</w:t>
                      </w:r>
                      <w:r w:rsidR="00E66692" w:rsidRPr="00E66692">
                        <w:rPr>
                          <w:sz w:val="24"/>
                        </w:rPr>
                        <w:t xml:space="preserve">, est à votre disposition pour vous conseiller et vous informer sur vos droits. </w:t>
                      </w:r>
                    </w:p>
                    <w:p w14:paraId="4292F911" w14:textId="12B97C55" w:rsidR="00E66692" w:rsidRPr="00E66692" w:rsidRDefault="00E66692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E66692">
                        <w:rPr>
                          <w:sz w:val="24"/>
                        </w:rPr>
                        <w:t xml:space="preserve">renez rendez-vous au </w:t>
                      </w:r>
                      <w:r w:rsidR="00050E59">
                        <w:rPr>
                          <w:b/>
                          <w:sz w:val="24"/>
                        </w:rPr>
                        <w:t>0</w:t>
                      </w:r>
                      <w:r w:rsidR="00D2531D">
                        <w:rPr>
                          <w:b/>
                          <w:sz w:val="24"/>
                        </w:rPr>
                        <w:t>7.</w:t>
                      </w:r>
                      <w:r w:rsidR="00664F4F">
                        <w:rPr>
                          <w:b/>
                          <w:sz w:val="24"/>
                        </w:rPr>
                        <w:t>XXX</w:t>
                      </w:r>
                      <w:r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2" w:history="1">
                        <w:r w:rsidR="00664F4F">
                          <w:rPr>
                            <w:rStyle w:val="Lienhypertexte"/>
                            <w:sz w:val="24"/>
                          </w:rPr>
                          <w:t>XXX</w:t>
                        </w:r>
                        <w:bookmarkStart w:id="1" w:name="_GoBack"/>
                        <w:bookmarkEnd w:id="1"/>
                        <w:r w:rsidR="00D2531D" w:rsidRPr="006D3D9F">
                          <w:rPr>
                            <w:rStyle w:val="Lienhypertexte"/>
                            <w:sz w:val="24"/>
                          </w:rPr>
                          <w:t>@acist.asso.fr</w:t>
                        </w:r>
                      </w:hyperlink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1B69EC2D" w14:textId="77777777"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ED2EC6" w14:textId="77777777" w:rsidR="00E05C25" w:rsidRPr="00E66692" w:rsidRDefault="00E05C25" w:rsidP="00E66692">
      <w:pPr>
        <w:jc w:val="both"/>
      </w:pPr>
    </w:p>
    <w:sectPr w:rsidR="00E05C25" w:rsidRPr="00E66692" w:rsidSect="00693D2C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4D2E5" w14:textId="77777777" w:rsidR="00CD230A" w:rsidRDefault="00CD230A" w:rsidP="007C65BA">
      <w:pPr>
        <w:spacing w:after="0" w:line="240" w:lineRule="auto"/>
      </w:pPr>
      <w:r>
        <w:separator/>
      </w:r>
    </w:p>
  </w:endnote>
  <w:endnote w:type="continuationSeparator" w:id="0">
    <w:p w14:paraId="099C4A62" w14:textId="77777777" w:rsidR="00CD230A" w:rsidRDefault="00CD230A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49438" w14:textId="77777777" w:rsidR="00050E59" w:rsidRPr="00050E59" w:rsidRDefault="00050E59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06071212" w14:textId="77777777" w:rsidR="00050E59" w:rsidRPr="00050E59" w:rsidRDefault="00050E59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600B" w14:textId="77777777" w:rsidR="00CD230A" w:rsidRDefault="00CD230A" w:rsidP="007C65BA">
      <w:pPr>
        <w:spacing w:after="0" w:line="240" w:lineRule="auto"/>
      </w:pPr>
      <w:r>
        <w:separator/>
      </w:r>
    </w:p>
  </w:footnote>
  <w:footnote w:type="continuationSeparator" w:id="0">
    <w:p w14:paraId="2274613E" w14:textId="77777777" w:rsidR="00CD230A" w:rsidRDefault="00CD230A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25F56" w14:textId="77777777" w:rsidR="000443E9" w:rsidRPr="000443E9" w:rsidRDefault="007C65BA" w:rsidP="000443E9">
    <w:pPr>
      <w:pStyle w:val="En-tte"/>
      <w:tabs>
        <w:tab w:val="clear" w:pos="9072"/>
      </w:tabs>
      <w:jc w:val="right"/>
      <w:rPr>
        <w:b/>
        <w:i/>
        <w:color w:val="002060"/>
      </w:rPr>
    </w:pPr>
    <w:r>
      <w:tab/>
    </w:r>
    <w:r w:rsidR="00951504">
      <w:rPr>
        <w:b/>
        <w:i/>
        <w:color w:val="002060"/>
      </w:rPr>
      <w:t>Avril</w:t>
    </w:r>
    <w:r w:rsidR="000443E9">
      <w:rPr>
        <w:b/>
        <w:i/>
        <w:color w:val="002060"/>
      </w:rPr>
      <w:t xml:space="preserve"> 2022</w:t>
    </w:r>
  </w:p>
  <w:p w14:paraId="14306519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14EA9"/>
    <w:multiLevelType w:val="multilevel"/>
    <w:tmpl w:val="C6EE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229BC"/>
    <w:rsid w:val="000443E9"/>
    <w:rsid w:val="00050E59"/>
    <w:rsid w:val="00081175"/>
    <w:rsid w:val="000E2DAA"/>
    <w:rsid w:val="00112D7E"/>
    <w:rsid w:val="001B3691"/>
    <w:rsid w:val="001D1755"/>
    <w:rsid w:val="001F49E7"/>
    <w:rsid w:val="0021274B"/>
    <w:rsid w:val="00212816"/>
    <w:rsid w:val="00272804"/>
    <w:rsid w:val="002E659F"/>
    <w:rsid w:val="00307299"/>
    <w:rsid w:val="00311D29"/>
    <w:rsid w:val="0036725E"/>
    <w:rsid w:val="003B1990"/>
    <w:rsid w:val="003E0EB1"/>
    <w:rsid w:val="00444EC8"/>
    <w:rsid w:val="004A5557"/>
    <w:rsid w:val="004B1189"/>
    <w:rsid w:val="004E5693"/>
    <w:rsid w:val="004F298F"/>
    <w:rsid w:val="00523F7D"/>
    <w:rsid w:val="00552D0E"/>
    <w:rsid w:val="00575D18"/>
    <w:rsid w:val="00594DE0"/>
    <w:rsid w:val="00651D8C"/>
    <w:rsid w:val="00664F4F"/>
    <w:rsid w:val="00693D2C"/>
    <w:rsid w:val="006B6779"/>
    <w:rsid w:val="00704C27"/>
    <w:rsid w:val="00753269"/>
    <w:rsid w:val="007B06B5"/>
    <w:rsid w:val="007C2D1C"/>
    <w:rsid w:val="007C65BA"/>
    <w:rsid w:val="008107C7"/>
    <w:rsid w:val="008404F6"/>
    <w:rsid w:val="008A0444"/>
    <w:rsid w:val="008C168C"/>
    <w:rsid w:val="00951504"/>
    <w:rsid w:val="009812B2"/>
    <w:rsid w:val="009842F0"/>
    <w:rsid w:val="009C5B86"/>
    <w:rsid w:val="009D0FBA"/>
    <w:rsid w:val="009D119C"/>
    <w:rsid w:val="00A33694"/>
    <w:rsid w:val="00A53184"/>
    <w:rsid w:val="00A92DC7"/>
    <w:rsid w:val="00AA31F0"/>
    <w:rsid w:val="00B13AFD"/>
    <w:rsid w:val="00B21BB3"/>
    <w:rsid w:val="00B30DC8"/>
    <w:rsid w:val="00B502C9"/>
    <w:rsid w:val="00B51DCE"/>
    <w:rsid w:val="00BF1F5B"/>
    <w:rsid w:val="00C11023"/>
    <w:rsid w:val="00C21F54"/>
    <w:rsid w:val="00C45B2E"/>
    <w:rsid w:val="00C87804"/>
    <w:rsid w:val="00CC5385"/>
    <w:rsid w:val="00CD230A"/>
    <w:rsid w:val="00CD6997"/>
    <w:rsid w:val="00D01D85"/>
    <w:rsid w:val="00D12B33"/>
    <w:rsid w:val="00D2531D"/>
    <w:rsid w:val="00D5062E"/>
    <w:rsid w:val="00D52CA1"/>
    <w:rsid w:val="00D64216"/>
    <w:rsid w:val="00D83B31"/>
    <w:rsid w:val="00D95671"/>
    <w:rsid w:val="00DA4B15"/>
    <w:rsid w:val="00DD2CB2"/>
    <w:rsid w:val="00E05C25"/>
    <w:rsid w:val="00E15CF6"/>
    <w:rsid w:val="00E52227"/>
    <w:rsid w:val="00E66692"/>
    <w:rsid w:val="00E739A4"/>
    <w:rsid w:val="00EF018B"/>
    <w:rsid w:val="00F50BF6"/>
    <w:rsid w:val="00F52862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3F6077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01D85"/>
    <w:rPr>
      <w:color w:val="808080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25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mence.foliot@acist.asso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mence.foliot@acist.asso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D288-5153-4B7B-8B06-C5F1ED7E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dcterms:created xsi:type="dcterms:W3CDTF">2022-04-27T08:55:00Z</dcterms:created>
  <dcterms:modified xsi:type="dcterms:W3CDTF">2022-04-27T08:55:00Z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98a045-e53d-4dce-a8d7-f41d40d412ce_Enabled">
    <vt:lpwstr>True</vt:lpwstr>
  </property>
  <property fmtid="{D5CDD505-2E9C-101B-9397-08002B2CF9AE}" pid="3" name="MSIP_Label_c998a045-e53d-4dce-a8d7-f41d40d412ce_SiteId">
    <vt:lpwstr>0804c951-93a0-405d-80e4-fa87c7551d6a</vt:lpwstr>
  </property>
  <property fmtid="{D5CDD505-2E9C-101B-9397-08002B2CF9AE}" pid="4" name="MSIP_Label_c998a045-e53d-4dce-a8d7-f41d40d412ce_Owner">
    <vt:lpwstr>clemence.foliot@external.technipfmc.com</vt:lpwstr>
  </property>
  <property fmtid="{D5CDD505-2E9C-101B-9397-08002B2CF9AE}" pid="5" name="MSIP_Label_c998a045-e53d-4dce-a8d7-f41d40d412ce_SetDate">
    <vt:lpwstr>2021-05-04T13:53:26.9999825Z</vt:lpwstr>
  </property>
  <property fmtid="{D5CDD505-2E9C-101B-9397-08002B2CF9AE}" pid="6" name="MSIP_Label_c998a045-e53d-4dce-a8d7-f41d40d412ce_Name">
    <vt:lpwstr>General</vt:lpwstr>
  </property>
  <property fmtid="{D5CDD505-2E9C-101B-9397-08002B2CF9AE}" pid="7" name="MSIP_Label_c998a045-e53d-4dce-a8d7-f41d40d412ce_Application">
    <vt:lpwstr>Microsoft Azure Information Protection</vt:lpwstr>
  </property>
  <property fmtid="{D5CDD505-2E9C-101B-9397-08002B2CF9AE}" pid="8" name="MSIP_Label_c998a045-e53d-4dce-a8d7-f41d40d412ce_Extended_MSFT_Method">
    <vt:lpwstr>Automatic</vt:lpwstr>
  </property>
  <property fmtid="{D5CDD505-2E9C-101B-9397-08002B2CF9AE}" pid="9" name="MSIP_Label_8caabacf-b917-4a45-9a5f-ed3a53d2eeb7_Enabled">
    <vt:lpwstr>True</vt:lpwstr>
  </property>
  <property fmtid="{D5CDD505-2E9C-101B-9397-08002B2CF9AE}" pid="10" name="MSIP_Label_8caabacf-b917-4a45-9a5f-ed3a53d2eeb7_SiteId">
    <vt:lpwstr>0804c951-93a0-405d-80e4-fa87c7551d6a</vt:lpwstr>
  </property>
  <property fmtid="{D5CDD505-2E9C-101B-9397-08002B2CF9AE}" pid="11" name="MSIP_Label_8caabacf-b917-4a45-9a5f-ed3a53d2eeb7_Owner">
    <vt:lpwstr>clemence.foliot@external.technipfmc.com</vt:lpwstr>
  </property>
  <property fmtid="{D5CDD505-2E9C-101B-9397-08002B2CF9AE}" pid="12" name="MSIP_Label_8caabacf-b917-4a45-9a5f-ed3a53d2eeb7_SetDate">
    <vt:lpwstr>2021-05-04T13:53:26.9999825Z</vt:lpwstr>
  </property>
  <property fmtid="{D5CDD505-2E9C-101B-9397-08002B2CF9AE}" pid="13" name="MSIP_Label_8caabacf-b917-4a45-9a5f-ed3a53d2eeb7_Name">
    <vt:lpwstr>Anyone - No Protection</vt:lpwstr>
  </property>
  <property fmtid="{D5CDD505-2E9C-101B-9397-08002B2CF9AE}" pid="14" name="MSIP_Label_8caabacf-b917-4a45-9a5f-ed3a53d2eeb7_Application">
    <vt:lpwstr>Microsoft Azure Information Protection</vt:lpwstr>
  </property>
  <property fmtid="{D5CDD505-2E9C-101B-9397-08002B2CF9AE}" pid="15" name="MSIP_Label_8caabacf-b917-4a45-9a5f-ed3a53d2eeb7_Parent">
    <vt:lpwstr>c998a045-e53d-4dce-a8d7-f41d40d412ce</vt:lpwstr>
  </property>
  <property fmtid="{D5CDD505-2E9C-101B-9397-08002B2CF9AE}" pid="16" name="MSIP_Label_8caabacf-b917-4a45-9a5f-ed3a53d2eeb7_Extended_MSFT_Method">
    <vt:lpwstr>Automatic</vt:lpwstr>
  </property>
  <property fmtid="{D5CDD505-2E9C-101B-9397-08002B2CF9AE}" pid="17" name="Sensitivity">
    <vt:lpwstr>General Anyone - No Protection</vt:lpwstr>
  </property>
</Properties>
</file>